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采购内容如下：</w:t>
      </w:r>
    </w:p>
    <w:tbl>
      <w:tblPr>
        <w:tblStyle w:val="2"/>
        <w:tblW w:w="5059" w:type="pct"/>
        <w:tblInd w:w="-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790"/>
        <w:gridCol w:w="1773"/>
        <w:gridCol w:w="2922"/>
        <w:gridCol w:w="595"/>
        <w:gridCol w:w="1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0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734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主要参数要求</w:t>
            </w:r>
          </w:p>
        </w:tc>
        <w:tc>
          <w:tcPr>
            <w:tcW w:w="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2"/>
                <w:szCs w:val="22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预算</w:t>
            </w: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5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1-</w:t>
            </w: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2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广西工艺美术大师非遗技艺传承与设计再生培训班用车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4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 xml:space="preserve"> 用车时间：2011年11月5日至11月12日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1. 50座客车新校区南门到中国寿山石馆一天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2.50座客车新校区南门到福州市区一天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3.轿车福州市区5天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按时结算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  <w:t>7500元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5080"/>
    <w:rsid w:val="01CF5080"/>
    <w:rsid w:val="6D1F7FFF"/>
    <w:rsid w:val="752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2020-10-23T02:53:00Z</dcterms:created>
  <dc:creator>Christina</dc:creator>
  <cp:lastModifiedBy>Christina</cp:lastModifiedBy>
  <dcterms:modified xsi:type="dcterms:W3CDTF">2020-10-23T03:34:04Z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